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Pr="00C6356C" w:rsidRDefault="00AD51B6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>
        <w:rPr>
          <w:rFonts w:eastAsia="Calibri" w:cs="Arial"/>
          <w:b/>
          <w:color w:val="FF9933"/>
          <w:sz w:val="40"/>
        </w:rPr>
        <w:t>W</w:t>
      </w:r>
      <w:r w:rsidR="00753B0D" w:rsidRPr="00C6356C">
        <w:rPr>
          <w:rFonts w:eastAsia="Calibri" w:cs="Arial"/>
          <w:b/>
          <w:color w:val="FF9933"/>
          <w:sz w:val="40"/>
        </w:rPr>
        <w:t>ymagania na poszczególne oceny szkolne</w:t>
      </w:r>
      <w:bookmarkStart w:id="0" w:name="_GoBack"/>
      <w:bookmarkEnd w:id="0"/>
      <w:r>
        <w:rPr>
          <w:rFonts w:eastAsia="Calibri" w:cs="Arial"/>
          <w:b/>
          <w:color w:val="FF9933"/>
          <w:sz w:val="40"/>
        </w:rPr>
        <w:t xml:space="preserve"> chemia klasa 8</w:t>
      </w:r>
    </w:p>
    <w:tbl>
      <w:tblPr>
        <w:tblStyle w:val="Tabela-Siatka"/>
        <w:tblW w:w="15276" w:type="dxa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dysocjacji elektrolitycznejzasad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waniem niektórych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przewiduje wzory strukturalne kwasów HClO,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dzięki reakcjom strąceniowym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szeregu homologicznego alkanoli;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strukturalnealkoholi monohydroksylowych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polihydroksylowe;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r w:rsidR="002E6BBD">
              <w:rPr>
                <w:rFonts w:cs="Arial"/>
                <w:color w:val="000000"/>
                <w:sz w:val="20"/>
                <w:szCs w:val="20"/>
              </w:rPr>
              <w:t>monohydroksylowymi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etanolu,kwasów i zasad, soli metali ciężkich (np. CuSO</w:t>
            </w:r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opisuje budowę i wybrane właściwości fizyczne i chemiczne aminokwasówna przykładzie kwasu aminooctowego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opisuje różnice w przebiegudenaturacji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dipeptydu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wzoru strukturalnego tri-, 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22" w:rsidRDefault="00C71022" w:rsidP="00285D6F">
      <w:pPr>
        <w:spacing w:after="0" w:line="240" w:lineRule="auto"/>
      </w:pPr>
      <w:r>
        <w:separator/>
      </w:r>
    </w:p>
  </w:endnote>
  <w:endnote w:type="continuationSeparator" w:id="1">
    <w:p w:rsidR="00C71022" w:rsidRDefault="00C7102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83004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3004F">
      <w:rPr>
        <w:b/>
        <w:noProof/>
        <w:color w:val="003892"/>
        <w:lang w:eastAsia="pl-PL"/>
      </w:rPr>
      <w:pict>
        <v:line id="Łącznik prostoliniowy 3" o:spid="_x0000_s1433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220E33" w:rsidRPr="009E0F62">
      <w:rPr>
        <w:b/>
        <w:color w:val="003892"/>
      </w:rPr>
      <w:t>AUTOR:</w:t>
    </w:r>
    <w:r w:rsidR="00220E33">
      <w:t>A</w:t>
    </w:r>
    <w:r w:rsidR="00220E33" w:rsidRPr="003E7A3E">
      <w:t xml:space="preserve">nna </w:t>
    </w:r>
    <w:r w:rsidR="00220E33">
      <w:t>Warchoł</w:t>
    </w:r>
  </w:p>
  <w:p w:rsidR="00220E33" w:rsidRDefault="0083004F" w:rsidP="00EE01FE">
    <w:pPr>
      <w:pStyle w:val="Stopka"/>
      <w:tabs>
        <w:tab w:val="clear" w:pos="9072"/>
        <w:tab w:val="right" w:pos="9639"/>
      </w:tabs>
      <w:ind w:left="-567" w:right="1"/>
    </w:pPr>
    <w:r w:rsidRPr="0083004F">
      <w:rPr>
        <w:b/>
        <w:noProof/>
        <w:color w:val="003892"/>
        <w:lang w:eastAsia="pl-PL"/>
      </w:rPr>
      <w:pict>
        <v:line id="Łącznik prostoliniowy 5" o:spid="_x0000_s1433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  <w:r w:rsidR="00EF006E" w:rsidRPr="00DE0998">
      <w:rPr>
        <w:noProof/>
        <w:sz w:val="16"/>
        <w:lang w:eastAsia="pl-PL"/>
      </w:rPr>
      <w:t>© Copyri</w:t>
    </w:r>
    <w:r w:rsidR="00EF006E">
      <w:rPr>
        <w:noProof/>
        <w:sz w:val="16"/>
        <w:lang w:eastAsia="pl-PL"/>
      </w:rPr>
      <w:t>g</w:t>
    </w:r>
    <w:r w:rsidR="00EF006E" w:rsidRPr="00DE0998">
      <w:rPr>
        <w:noProof/>
        <w:sz w:val="16"/>
        <w:lang w:eastAsia="pl-PL"/>
      </w:rPr>
      <w:t>ht by Wydawnictwa Szkolne i Pedagogiczn</w:t>
    </w:r>
    <w:r w:rsidR="00EF006E">
      <w:rPr>
        <w:noProof/>
        <w:sz w:val="16"/>
        <w:lang w:eastAsia="pl-PL"/>
      </w:rPr>
      <w:t>e</w:t>
    </w:r>
    <w:r w:rsidR="00EF006E" w:rsidRPr="00DE0998">
      <w:rPr>
        <w:noProof/>
        <w:sz w:val="16"/>
        <w:lang w:eastAsia="pl-PL"/>
      </w:rPr>
      <w:t>, Warszawa 2018</w:t>
    </w:r>
  </w:p>
  <w:p w:rsidR="00220E33" w:rsidRDefault="0083004F" w:rsidP="009130E5">
    <w:pPr>
      <w:pStyle w:val="Stopka"/>
      <w:ind w:left="-1417"/>
      <w:jc w:val="center"/>
    </w:pPr>
    <w:r>
      <w:fldChar w:fldCharType="begin"/>
    </w:r>
    <w:r w:rsidR="00220E33">
      <w:instrText>PAGE   \* MERGEFORMAT</w:instrText>
    </w:r>
    <w:r>
      <w:fldChar w:fldCharType="separate"/>
    </w:r>
    <w:r w:rsidR="00C71022">
      <w:rPr>
        <w:noProof/>
      </w:rPr>
      <w:t>1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22" w:rsidRDefault="00C71022" w:rsidP="00285D6F">
      <w:pPr>
        <w:spacing w:after="0" w:line="240" w:lineRule="auto"/>
      </w:pPr>
      <w:r>
        <w:separator/>
      </w:r>
    </w:p>
  </w:footnote>
  <w:footnote w:type="continuationSeparator" w:id="1">
    <w:p w:rsidR="00C71022" w:rsidRDefault="00C7102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53B0D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004F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D51B6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71022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AF8-3D6D-4BBC-A412-0A02D82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2</cp:revision>
  <cp:lastPrinted>2017-04-26T11:04:00Z</cp:lastPrinted>
  <dcterms:created xsi:type="dcterms:W3CDTF">2020-09-07T07:25:00Z</dcterms:created>
  <dcterms:modified xsi:type="dcterms:W3CDTF">2020-09-07T07:25:00Z</dcterms:modified>
</cp:coreProperties>
</file>